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4A2" w:rsidRDefault="00FD34A2" w:rsidP="00FD34A2">
      <w:pPr>
        <w:pStyle w:val="1"/>
        <w:rPr>
          <w:szCs w:val="24"/>
        </w:rPr>
      </w:pPr>
      <w:bookmarkStart w:id="0" w:name="_Toc443726269"/>
      <w:bookmarkStart w:id="1" w:name="_GoBack"/>
      <w:r>
        <w:t>Требования к местам установки приборов учета</w:t>
      </w:r>
      <w:bookmarkEnd w:id="0"/>
    </w:p>
    <w:bookmarkEnd w:id="1"/>
    <w:p w:rsidR="00FD34A2" w:rsidRDefault="00FD34A2" w:rsidP="00FD34A2">
      <w:pPr>
        <w:jc w:val="both"/>
        <w:rPr>
          <w:rFonts w:ascii="Times New Roman" w:hAnsi="Times New Roman"/>
          <w:b/>
          <w:bCs/>
        </w:rPr>
      </w:pPr>
    </w:p>
    <w:p w:rsidR="00FD34A2" w:rsidRDefault="00FD34A2" w:rsidP="00FD34A2">
      <w:pPr>
        <w:jc w:val="both"/>
        <w:rPr>
          <w:rFonts w:ascii="Times New Roman" w:hAnsi="Times New Roman"/>
        </w:rPr>
      </w:pPr>
      <w:r>
        <w:rPr>
          <w:rFonts w:ascii="Times New Roman" w:hAnsi="Times New Roman"/>
        </w:rPr>
        <w:tab/>
        <w:t xml:space="preserve">Приборы учета подлежат установке на границах балансовой принадлежности объектов электроэнергетики смежных субъектов розничного рынка - потребителей, производителей электрической энергии, сетевых организаций, имеющих общую границу балансовой принадлежности. При отсутствии технической возможности установки прибора учета на границе балансовой </w:t>
      </w:r>
      <w:proofErr w:type="gramStart"/>
      <w:r>
        <w:rPr>
          <w:rFonts w:ascii="Times New Roman" w:hAnsi="Times New Roman"/>
        </w:rPr>
        <w:t>принадлежности объектов электроэнергетики  смежных субъектов розничного рынка</w:t>
      </w:r>
      <w:proofErr w:type="gramEnd"/>
      <w:r>
        <w:rPr>
          <w:rFonts w:ascii="Times New Roman" w:hAnsi="Times New Roman"/>
        </w:rPr>
        <w:t xml:space="preserve"> прибор учета подлежит установке в месте, максимально приближенном к границе балансовой принадлежности, в котором имеется техническая возможность его установки. При этом по соглашению между смежными субъектами розничного рынка прибор учета, подлежащий использованию для определения объемов потребления электрической энергии одного субъекта, может быть установлен в границах объектов электроэнергетики другого смежного субъекта.</w:t>
      </w:r>
    </w:p>
    <w:p w:rsidR="00FD34A2" w:rsidRDefault="00FD34A2" w:rsidP="00FD34A2">
      <w:pPr>
        <w:jc w:val="both"/>
        <w:rPr>
          <w:rFonts w:ascii="Times New Roman" w:hAnsi="Times New Roman"/>
        </w:rPr>
      </w:pPr>
      <w:r>
        <w:rPr>
          <w:rFonts w:ascii="Times New Roman" w:hAnsi="Times New Roman"/>
        </w:rPr>
        <w:tab/>
      </w:r>
      <w:proofErr w:type="gramStart"/>
      <w:r>
        <w:rPr>
          <w:rFonts w:ascii="Times New Roman" w:hAnsi="Times New Roman"/>
        </w:rPr>
        <w:t>В случае если прибор учета, в том числе коллективный (общедомовой) прибор учета в многоквартирном доме, расположен не на границе балансовой принадлежности объектов электроэнергетики смежных субъектов розничного рынка, то объем потребления электрической энергии, определенный на основании показаний такого прибора учета,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до места установки прибора</w:t>
      </w:r>
      <w:proofErr w:type="gramEnd"/>
      <w:r>
        <w:rPr>
          <w:rFonts w:ascii="Times New Roman" w:hAnsi="Times New Roman"/>
        </w:rPr>
        <w:t xml:space="preserve"> учета. При этом расчет величины потерь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 </w:t>
      </w:r>
    </w:p>
    <w:p w:rsidR="00FD34A2" w:rsidRDefault="00FD34A2" w:rsidP="00FD34A2">
      <w:pPr>
        <w:jc w:val="both"/>
        <w:rPr>
          <w:rFonts w:ascii="Times New Roman" w:hAnsi="Times New Roman"/>
        </w:rPr>
      </w:pPr>
      <w:r>
        <w:rPr>
          <w:rFonts w:ascii="Times New Roman" w:hAnsi="Times New Roman"/>
        </w:rPr>
        <w:tab/>
        <w:t>Установку счетчиков следует производить в соответствии с требованиями главы 1.5. Правил устройства электроустановок</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д</w:t>
      </w:r>
      <w:proofErr w:type="gramEnd"/>
      <w:r>
        <w:rPr>
          <w:rFonts w:ascii="Times New Roman" w:hAnsi="Times New Roman"/>
        </w:rPr>
        <w:t xml:space="preserve">алее — ПУЭ). </w:t>
      </w:r>
    </w:p>
    <w:p w:rsidR="00FD34A2" w:rsidRDefault="00FD34A2" w:rsidP="00FD34A2">
      <w:pPr>
        <w:jc w:val="both"/>
        <w:rPr>
          <w:rFonts w:ascii="Times New Roman" w:hAnsi="Times New Roman"/>
        </w:rPr>
      </w:pPr>
      <w:r>
        <w:rPr>
          <w:rFonts w:ascii="Times New Roman" w:hAnsi="Times New Roman"/>
        </w:rPr>
        <w:tab/>
        <w:t xml:space="preserve">Счетчики должны размещаться в </w:t>
      </w:r>
      <w:proofErr w:type="gramStart"/>
      <w:r>
        <w:rPr>
          <w:rFonts w:ascii="Times New Roman" w:hAnsi="Times New Roman"/>
        </w:rPr>
        <w:t>легко доступных</w:t>
      </w:r>
      <w:proofErr w:type="gramEnd"/>
      <w:r>
        <w:rPr>
          <w:rFonts w:ascii="Times New Roman" w:hAnsi="Times New Roman"/>
        </w:rPr>
        <w:t xml:space="preserve"> для обслуживания сухих помещениях, в достаточно свободном и не стесненном для работы месте с температурой в зимнее время не ниже 0 °С. </w:t>
      </w:r>
    </w:p>
    <w:p w:rsidR="00FD34A2" w:rsidRDefault="00FD34A2" w:rsidP="00FD34A2">
      <w:pPr>
        <w:jc w:val="both"/>
        <w:rPr>
          <w:rFonts w:ascii="Times New Roman" w:hAnsi="Times New Roman"/>
        </w:rPr>
      </w:pPr>
      <w:r>
        <w:rPr>
          <w:rFonts w:ascii="Times New Roman" w:hAnsi="Times New Roman"/>
        </w:rPr>
        <w:tab/>
        <w:t>Счетчики общепромышленного исполнения не разрешается устанавливать в помещениях, где по производственным условиям температура может часто превышать +40</w:t>
      </w:r>
      <w:proofErr w:type="gramStart"/>
      <w:r>
        <w:rPr>
          <w:rFonts w:ascii="Times New Roman" w:hAnsi="Times New Roman"/>
        </w:rPr>
        <w:t xml:space="preserve"> °С</w:t>
      </w:r>
      <w:proofErr w:type="gramEnd"/>
      <w:r>
        <w:rPr>
          <w:rFonts w:ascii="Times New Roman" w:hAnsi="Times New Roman"/>
        </w:rPr>
        <w:t xml:space="preserve">, а также в помещениях с агрессивными средами. </w:t>
      </w:r>
    </w:p>
    <w:p w:rsidR="00FD34A2" w:rsidRDefault="00FD34A2" w:rsidP="00FD34A2">
      <w:pPr>
        <w:jc w:val="both"/>
        <w:rPr>
          <w:rFonts w:ascii="Times New Roman" w:hAnsi="Times New Roman"/>
        </w:rPr>
      </w:pPr>
      <w:r>
        <w:rPr>
          <w:rFonts w:ascii="Times New Roman" w:hAnsi="Times New Roman"/>
        </w:rPr>
        <w:tab/>
        <w:t xml:space="preserve">Допускается размещение счетчиков в неотапливаемых помещениях и коридорах распределительных устройств электростанций и подстанций, а также в шкафах наружной установки. При этом должно быть предусмотрено стационарное их утепление на зимнее время посредством утепляющих шкафов, колпаков с подогревом воздуха внутри них электрической лампой или нагревательным элементом для обеспечения внутри колпака положительной температуры, но не выше +20 °С. </w:t>
      </w:r>
    </w:p>
    <w:p w:rsidR="00FD34A2" w:rsidRDefault="00FD34A2" w:rsidP="00FD34A2">
      <w:pPr>
        <w:jc w:val="both"/>
        <w:rPr>
          <w:rFonts w:ascii="Times New Roman" w:hAnsi="Times New Roman"/>
        </w:rPr>
      </w:pPr>
      <w:r>
        <w:rPr>
          <w:rFonts w:ascii="Times New Roman" w:hAnsi="Times New Roman"/>
        </w:rPr>
        <w:tab/>
        <w:t xml:space="preserve">Счетчики должны устанавливаться в шкафах, камерах комплектных распределительных устройствах (КРУ, КРУП), на панелях, щитах, в нишах, на стенах, имеющих жесткую конструкцию. Допускается крепление счетчиков на деревянных, пластмассовых или металлических щитках. </w:t>
      </w:r>
    </w:p>
    <w:p w:rsidR="00FD34A2" w:rsidRDefault="00FD34A2" w:rsidP="00FD34A2">
      <w:pPr>
        <w:jc w:val="both"/>
        <w:rPr>
          <w:rFonts w:ascii="Times New Roman" w:hAnsi="Times New Roman"/>
        </w:rPr>
      </w:pPr>
      <w:r>
        <w:rPr>
          <w:rFonts w:ascii="Times New Roman" w:hAnsi="Times New Roman"/>
        </w:rPr>
        <w:tab/>
        <w:t xml:space="preserve">Высота от пола до коробки зажимов счетчиков должна быть в пределах 0,8-1,7 м. Допускается высота менее 0,8 м, но не менее 0,4 м. </w:t>
      </w:r>
    </w:p>
    <w:p w:rsidR="00FD34A2" w:rsidRDefault="00FD34A2" w:rsidP="00FD34A2">
      <w:pPr>
        <w:jc w:val="both"/>
        <w:rPr>
          <w:rFonts w:ascii="Times New Roman" w:hAnsi="Times New Roman"/>
        </w:rPr>
      </w:pPr>
      <w:r>
        <w:rPr>
          <w:rFonts w:ascii="Times New Roman" w:hAnsi="Times New Roman"/>
        </w:rPr>
        <w:tab/>
        <w:t xml:space="preserve">В местах, где имеется опасность механических повреждений счетчиков или их загрязнения, или в местах, доступных для посторонних лиц (проходы, лестничные клетки и т. п.), для счетчиков должен предусматриваться запирающийся шкаф с окошком на уровне циферблата. Аналогичные шкафы должны устанавливаться также для совместного размещения счетчиков и трансформаторов тока при выполнении учета на стороне низшего напряжения (на вводе у потребителей). </w:t>
      </w:r>
    </w:p>
    <w:p w:rsidR="00FD34A2" w:rsidRDefault="00FD34A2" w:rsidP="00FD34A2">
      <w:pPr>
        <w:jc w:val="both"/>
        <w:rPr>
          <w:rFonts w:ascii="Times New Roman" w:hAnsi="Times New Roman"/>
        </w:rPr>
      </w:pPr>
      <w:r>
        <w:rPr>
          <w:rFonts w:ascii="Times New Roman" w:hAnsi="Times New Roman"/>
        </w:rPr>
        <w:tab/>
        <w:t xml:space="preserve">Конструкции и размеры шкафов, ниш, щитков и т. п. должны обеспечивать удобный доступ к зажимам счетчиков и трансформаторов тока. Кроме того, должна быть </w:t>
      </w:r>
      <w:r>
        <w:rPr>
          <w:rFonts w:ascii="Times New Roman" w:hAnsi="Times New Roman"/>
        </w:rPr>
        <w:lastRenderedPageBreak/>
        <w:t xml:space="preserve">обеспечена возможность удобной замены счетчика и установки его с уклоном не более 1°. Конструкция его крепления должна обеспечивать возможность установки и съема счетчика с лицевой стороны. </w:t>
      </w:r>
    </w:p>
    <w:p w:rsidR="00FD34A2" w:rsidRDefault="00FD34A2" w:rsidP="00FD34A2">
      <w:pPr>
        <w:jc w:val="both"/>
        <w:rPr>
          <w:rFonts w:ascii="Times New Roman" w:hAnsi="Times New Roman"/>
        </w:rPr>
      </w:pPr>
      <w:r>
        <w:rPr>
          <w:rFonts w:ascii="Times New Roman" w:hAnsi="Times New Roman"/>
        </w:rPr>
        <w:tab/>
        <w:t xml:space="preserve">Шкаф учета должен соответствовать климатическому исполнению для наружной установки (вариант исполнения УХЛ-1 по ГОСТ 15150-69), быть герметичным (степень защиты от проникновения воды не ниже 3, степень защиты от доступа к опасным частям – попадание внешних предметов не ниже 4 по ГОСТ 22261-94), степень защиту по ГОСТ </w:t>
      </w:r>
      <w:proofErr w:type="gramStart"/>
      <w:r>
        <w:rPr>
          <w:rFonts w:ascii="Times New Roman" w:hAnsi="Times New Roman"/>
        </w:rPr>
        <w:t>Р</w:t>
      </w:r>
      <w:proofErr w:type="gramEnd"/>
      <w:r>
        <w:rPr>
          <w:rFonts w:ascii="Times New Roman" w:hAnsi="Times New Roman"/>
        </w:rPr>
        <w:t xml:space="preserve"> 51321.1-2000 IP54, иметь небьющиеся окно для снятия показаний с электросчетчика на уровне отсчетного устройства, иметь возможность пломбирования соответствующих отсеков или их частей. Конструкция шкафа, его дверок, задвижек, замков и т.п. должна обеспечивать достаточную прочность для защиты от вандализма и попыток взлома с целью хищения дорогостоящего оборудования. В целях электробезопасности корпус металлического шкафа учета электроэнергии должен быть заземлен.</w:t>
      </w:r>
    </w:p>
    <w:p w:rsidR="00FD34A2" w:rsidRDefault="00FD34A2" w:rsidP="00FD34A2">
      <w:pPr>
        <w:jc w:val="both"/>
        <w:rPr>
          <w:rFonts w:ascii="Times New Roman" w:hAnsi="Times New Roman"/>
        </w:rPr>
      </w:pPr>
      <w:r>
        <w:rPr>
          <w:rFonts w:ascii="Times New Roman" w:hAnsi="Times New Roman"/>
        </w:rPr>
        <w:tab/>
        <w:t xml:space="preserve">В электропроводке к расчетным счетчикам наличие паек не допускается. </w:t>
      </w:r>
    </w:p>
    <w:p w:rsidR="00FD34A2" w:rsidRDefault="00FD34A2" w:rsidP="00FD34A2">
      <w:pPr>
        <w:jc w:val="both"/>
        <w:rPr>
          <w:rFonts w:ascii="Times New Roman" w:hAnsi="Times New Roman"/>
        </w:rPr>
      </w:pPr>
      <w:r>
        <w:rPr>
          <w:rFonts w:ascii="Times New Roman" w:hAnsi="Times New Roman"/>
        </w:rPr>
        <w:tab/>
        <w:t xml:space="preserve">Сечения проводов и кабелей, присоединяемых к счетчикам, должны приниматься в соответствии с 3.4.4 ПУЭ. </w:t>
      </w:r>
    </w:p>
    <w:p w:rsidR="00FD34A2" w:rsidRDefault="00FD34A2" w:rsidP="00FD34A2">
      <w:pPr>
        <w:jc w:val="both"/>
        <w:rPr>
          <w:rFonts w:ascii="Times New Roman" w:hAnsi="Times New Roman"/>
        </w:rPr>
      </w:pPr>
      <w:r>
        <w:rPr>
          <w:rFonts w:ascii="Times New Roman" w:hAnsi="Times New Roman"/>
        </w:rPr>
        <w:tab/>
        <w:t xml:space="preserve">При монтаже электропроводки для присоединения счетчиков непосредственного включения около счетчиков необходимо оставлять концы проводов длиной не менее 120 мм. Изоляция или оболочка нулевого провода на длине 100 мм перед счетчиком должна иметь отличительную окраску. </w:t>
      </w:r>
    </w:p>
    <w:p w:rsidR="00FD34A2" w:rsidRDefault="00FD34A2" w:rsidP="00FD34A2">
      <w:pPr>
        <w:jc w:val="both"/>
        <w:rPr>
          <w:rFonts w:ascii="Times New Roman" w:hAnsi="Times New Roman"/>
        </w:rPr>
      </w:pPr>
      <w:r>
        <w:rPr>
          <w:rFonts w:ascii="Times New Roman" w:hAnsi="Times New Roman"/>
        </w:rPr>
        <w:tab/>
        <w:t>Для безопасной установки и замены счетчиков в сетях напряжением до 380</w:t>
      </w:r>
      <w:proofErr w:type="gramStart"/>
      <w:r>
        <w:rPr>
          <w:rFonts w:ascii="Times New Roman" w:hAnsi="Times New Roman"/>
        </w:rPr>
        <w:t xml:space="preserve"> В</w:t>
      </w:r>
      <w:proofErr w:type="gramEnd"/>
      <w:r>
        <w:rPr>
          <w:rFonts w:ascii="Times New Roman" w:hAnsi="Times New Roman"/>
        </w:rPr>
        <w:t xml:space="preserve"> должна предусматриваться возможность отключения счетчика установленными до него на расстоянии не более 10 м коммутационным аппаратом или предохранителями. Снятие напряжения должно предусматриваться со всех фаз, присоединяемых к счетчику. </w:t>
      </w:r>
    </w:p>
    <w:p w:rsidR="00FD34A2" w:rsidRDefault="00FD34A2" w:rsidP="00FD34A2">
      <w:pPr>
        <w:jc w:val="both"/>
        <w:rPr>
          <w:rFonts w:ascii="Times New Roman" w:hAnsi="Times New Roman"/>
        </w:rPr>
      </w:pPr>
      <w:r>
        <w:rPr>
          <w:rFonts w:ascii="Times New Roman" w:hAnsi="Times New Roman"/>
        </w:rPr>
        <w:t>Трансформаторы тока, используемые для присоединения счетчиков на напряжении до 380</w:t>
      </w:r>
      <w:proofErr w:type="gramStart"/>
      <w:r>
        <w:rPr>
          <w:rFonts w:ascii="Times New Roman" w:hAnsi="Times New Roman"/>
        </w:rPr>
        <w:t xml:space="preserve"> В</w:t>
      </w:r>
      <w:proofErr w:type="gramEnd"/>
      <w:r>
        <w:rPr>
          <w:rFonts w:ascii="Times New Roman" w:hAnsi="Times New Roman"/>
        </w:rPr>
        <w:t xml:space="preserve">, должны устанавливаться после коммутационных аппаратов по направлению потока мощности. </w:t>
      </w:r>
    </w:p>
    <w:p w:rsidR="00FD34A2" w:rsidRDefault="00FD34A2" w:rsidP="00FD34A2">
      <w:pPr>
        <w:jc w:val="both"/>
        <w:rPr>
          <w:rFonts w:ascii="Times New Roman" w:hAnsi="Times New Roman"/>
        </w:rPr>
      </w:pPr>
      <w:r>
        <w:rPr>
          <w:rFonts w:ascii="Times New Roman" w:hAnsi="Times New Roman"/>
        </w:rPr>
        <w:tab/>
        <w:t>Заземление (</w:t>
      </w:r>
      <w:proofErr w:type="spellStart"/>
      <w:r>
        <w:rPr>
          <w:rFonts w:ascii="Times New Roman" w:hAnsi="Times New Roman"/>
        </w:rPr>
        <w:t>зануление</w:t>
      </w:r>
      <w:proofErr w:type="spellEnd"/>
      <w:r>
        <w:rPr>
          <w:rFonts w:ascii="Times New Roman" w:hAnsi="Times New Roman"/>
        </w:rPr>
        <w:t xml:space="preserve">) счетчиков и трансформаторов тока должно выполняться в соответствии с требованиями главы 1.7. ПУЭ. При этом заземляющие и нулевые защитные проводники от счетчиков и трансформаторов тока напряжением до 1 </w:t>
      </w:r>
      <w:proofErr w:type="spellStart"/>
      <w:r>
        <w:rPr>
          <w:rFonts w:ascii="Times New Roman" w:hAnsi="Times New Roman"/>
        </w:rPr>
        <w:t>кВ</w:t>
      </w:r>
      <w:proofErr w:type="spellEnd"/>
      <w:r>
        <w:rPr>
          <w:rFonts w:ascii="Times New Roman" w:hAnsi="Times New Roman"/>
        </w:rPr>
        <w:t xml:space="preserve"> до ближайшей сборки зажимов должны быть медными. </w:t>
      </w:r>
    </w:p>
    <w:p w:rsidR="00FD34A2" w:rsidRDefault="00FD34A2" w:rsidP="00FD34A2">
      <w:pPr>
        <w:jc w:val="both"/>
        <w:rPr>
          <w:rFonts w:ascii="Times New Roman" w:hAnsi="Times New Roman"/>
        </w:rPr>
      </w:pPr>
      <w:r>
        <w:rPr>
          <w:rFonts w:ascii="Times New Roman" w:hAnsi="Times New Roman"/>
        </w:rPr>
        <w:tab/>
        <w:t xml:space="preserve">При наличии на объекте нескольких присоединений с отдельным учетом электроэнергии на панелях счетчиков должны быть надписи наименований присоединений. </w:t>
      </w:r>
    </w:p>
    <w:p w:rsidR="00FD34A2" w:rsidRDefault="00FD34A2" w:rsidP="00FD34A2">
      <w:pPr>
        <w:jc w:val="both"/>
        <w:rPr>
          <w:rFonts w:ascii="Times New Roman" w:hAnsi="Times New Roman"/>
        </w:rPr>
      </w:pPr>
      <w:r>
        <w:rPr>
          <w:rFonts w:ascii="Times New Roman" w:hAnsi="Times New Roman"/>
        </w:rPr>
        <w:tab/>
        <w:t xml:space="preserve">Расчетные счетчики активной электроэнергии на подстанции, принадлежащей потребителю, должны устанавливаться: </w:t>
      </w:r>
    </w:p>
    <w:p w:rsidR="00FD34A2" w:rsidRDefault="00FD34A2" w:rsidP="00FD34A2">
      <w:pPr>
        <w:jc w:val="both"/>
        <w:rPr>
          <w:rFonts w:ascii="Times New Roman" w:hAnsi="Times New Roman"/>
        </w:rPr>
      </w:pPr>
      <w:r>
        <w:rPr>
          <w:rFonts w:ascii="Times New Roman" w:hAnsi="Times New Roman"/>
        </w:rPr>
        <w:t xml:space="preserve">1. на вводе (приемном конце) линии электропередачи в подстанцию потребителя при отсутствии электрической связи с другой подстанцией энергосистемы или другого потребителя на питающем напряжении; </w:t>
      </w:r>
    </w:p>
    <w:p w:rsidR="00FD34A2" w:rsidRDefault="00FD34A2" w:rsidP="00FD34A2">
      <w:pPr>
        <w:jc w:val="both"/>
        <w:rPr>
          <w:rFonts w:ascii="Times New Roman" w:hAnsi="Times New Roman"/>
        </w:rPr>
      </w:pPr>
      <w:r>
        <w:rPr>
          <w:rFonts w:ascii="Times New Roman" w:hAnsi="Times New Roman"/>
        </w:rPr>
        <w:t>2.</w:t>
      </w:r>
      <w:r>
        <w:rPr>
          <w:rFonts w:ascii="Times New Roman" w:hAnsi="Times New Roman"/>
        </w:rPr>
        <w:tab/>
        <w:t xml:space="preserve">на стороне высшего напряжения трансформаторов подстанции потребителя при наличии электрической связи с другой подстанцией энергосистемы или наличии другого потребителя на питающем напряжении. Допускается установка счетчиков на стороне низшего напряжения трансформаторов в случаях, когда трансформаторы тока, выбранные по току </w:t>
      </w:r>
      <w:proofErr w:type="gramStart"/>
      <w:r>
        <w:rPr>
          <w:rFonts w:ascii="Times New Roman" w:hAnsi="Times New Roman"/>
        </w:rPr>
        <w:t>КЗ</w:t>
      </w:r>
      <w:proofErr w:type="gramEnd"/>
      <w:r>
        <w:rPr>
          <w:rFonts w:ascii="Times New Roman" w:hAnsi="Times New Roman"/>
        </w:rPr>
        <w:t xml:space="preserve"> или по характеристикам дифференциальной защиты шин, не обеспечивают требуемой точности учета электроэнергии, а также когда у имеющихся встроенных трансформаторов тока отсутствует обмотка класса точности 0,5. </w:t>
      </w:r>
      <w:proofErr w:type="gramStart"/>
      <w:r>
        <w:rPr>
          <w:rFonts w:ascii="Times New Roman" w:hAnsi="Times New Roman"/>
        </w:rPr>
        <w:t xml:space="preserve">В случае, когда установка дополнительных комплектов трансформаторов тока со стороны низшего напряжения силовых трансформаторов для включения расчетных счетчиков невозможна (КРУ, КРУН), допускается организация учета на отходящих линиях 6-10 </w:t>
      </w:r>
      <w:proofErr w:type="spellStart"/>
      <w:r>
        <w:rPr>
          <w:rFonts w:ascii="Times New Roman" w:hAnsi="Times New Roman"/>
        </w:rPr>
        <w:t>кВ.</w:t>
      </w:r>
      <w:proofErr w:type="spellEnd"/>
      <w:r>
        <w:rPr>
          <w:rFonts w:ascii="Times New Roman" w:hAnsi="Times New Roman"/>
        </w:rPr>
        <w:t xml:space="preserve"> Для предприятия, рассчитывающегося с </w:t>
      </w:r>
      <w:proofErr w:type="spellStart"/>
      <w:r>
        <w:rPr>
          <w:rFonts w:ascii="Times New Roman" w:hAnsi="Times New Roman"/>
        </w:rPr>
        <w:t>электроснабжающей</w:t>
      </w:r>
      <w:proofErr w:type="spellEnd"/>
      <w:r>
        <w:rPr>
          <w:rFonts w:ascii="Times New Roman" w:hAnsi="Times New Roman"/>
        </w:rPr>
        <w:t xml:space="preserve"> организацией по максимуму заявленной мощности, следует предусматривать установку счетчика с указателем максимума нагрузки при наличии одного пункта учета, при наличии двух или более пунктов учета — </w:t>
      </w:r>
      <w:r>
        <w:rPr>
          <w:rFonts w:ascii="Times New Roman" w:hAnsi="Times New Roman"/>
        </w:rPr>
        <w:lastRenderedPageBreak/>
        <w:t>применение</w:t>
      </w:r>
      <w:proofErr w:type="gramEnd"/>
      <w:r>
        <w:rPr>
          <w:rFonts w:ascii="Times New Roman" w:hAnsi="Times New Roman"/>
        </w:rPr>
        <w:t xml:space="preserve"> автоматизированной системы учета электроэнергии; </w:t>
      </w:r>
    </w:p>
    <w:p w:rsidR="00FD34A2" w:rsidRDefault="00FD34A2" w:rsidP="00FD34A2">
      <w:pPr>
        <w:jc w:val="both"/>
        <w:rPr>
          <w:rFonts w:ascii="Times New Roman" w:hAnsi="Times New Roman"/>
        </w:rPr>
      </w:pPr>
      <w:r>
        <w:rPr>
          <w:rFonts w:ascii="Times New Roman" w:hAnsi="Times New Roman"/>
        </w:rPr>
        <w:t>3.</w:t>
      </w:r>
      <w:r>
        <w:rPr>
          <w:rFonts w:ascii="Times New Roman" w:hAnsi="Times New Roman"/>
        </w:rPr>
        <w:tab/>
        <w:t xml:space="preserve">на стороне среднего и низшего напряжений силовых трансформаторов, если на стороне высшего напряжения применение измерительных трансформаторов не требуется для других целей; </w:t>
      </w:r>
    </w:p>
    <w:p w:rsidR="00FD34A2" w:rsidRDefault="00FD34A2" w:rsidP="00FD34A2">
      <w:pPr>
        <w:jc w:val="both"/>
        <w:rPr>
          <w:rFonts w:ascii="Times New Roman" w:hAnsi="Times New Roman"/>
        </w:rPr>
      </w:pPr>
      <w:r>
        <w:rPr>
          <w:rFonts w:ascii="Times New Roman" w:hAnsi="Times New Roman"/>
        </w:rPr>
        <w:t>4.</w:t>
      </w:r>
      <w:r>
        <w:rPr>
          <w:rFonts w:ascii="Times New Roman" w:hAnsi="Times New Roman"/>
        </w:rPr>
        <w:tab/>
        <w:t xml:space="preserve">на трансформаторах СН, если электроэнергия, отпущенная на собственные нужды, не учитывается другими счетчиками; при этом счетчики рекомендуется устанавливать со стороны низшего напряжения; </w:t>
      </w:r>
    </w:p>
    <w:p w:rsidR="00FD34A2" w:rsidRDefault="00FD34A2" w:rsidP="00FD34A2">
      <w:pPr>
        <w:jc w:val="both"/>
        <w:rPr>
          <w:rFonts w:ascii="Times New Roman" w:hAnsi="Times New Roman"/>
        </w:rPr>
      </w:pPr>
      <w:r>
        <w:rPr>
          <w:rFonts w:ascii="Times New Roman" w:hAnsi="Times New Roman"/>
        </w:rPr>
        <w:t>5.</w:t>
      </w:r>
      <w:r>
        <w:rPr>
          <w:rFonts w:ascii="Times New Roman" w:hAnsi="Times New Roman"/>
        </w:rPr>
        <w:tab/>
        <w:t>на границе раздела основного потребителя и постороннего потребителя</w:t>
      </w:r>
    </w:p>
    <w:p w:rsidR="00FD34A2" w:rsidRDefault="00FD34A2" w:rsidP="00FD34A2">
      <w:pPr>
        <w:jc w:val="both"/>
        <w:rPr>
          <w:rFonts w:ascii="Times New Roman" w:hAnsi="Times New Roman"/>
        </w:rPr>
      </w:pPr>
      <w:r>
        <w:rPr>
          <w:rFonts w:ascii="Times New Roman" w:hAnsi="Times New Roman"/>
        </w:rPr>
        <w:t xml:space="preserve">Каждый установленный расчетный счетчик должен иметь на винтах, крепящих кожух счетчика, пломбы с клеймом </w:t>
      </w:r>
      <w:proofErr w:type="spellStart"/>
      <w:r>
        <w:rPr>
          <w:rFonts w:ascii="Times New Roman" w:hAnsi="Times New Roman"/>
        </w:rPr>
        <w:t>госповерителя</w:t>
      </w:r>
      <w:proofErr w:type="spellEnd"/>
      <w:r>
        <w:rPr>
          <w:rFonts w:ascii="Times New Roman" w:hAnsi="Times New Roman"/>
        </w:rPr>
        <w:t xml:space="preserve">, а на зажимной крышке — пломбу </w:t>
      </w:r>
      <w:proofErr w:type="spellStart"/>
      <w:r>
        <w:rPr>
          <w:rFonts w:ascii="Times New Roman" w:hAnsi="Times New Roman"/>
        </w:rPr>
        <w:t>энергоснабжающей</w:t>
      </w:r>
      <w:proofErr w:type="spellEnd"/>
      <w:r>
        <w:rPr>
          <w:rFonts w:ascii="Times New Roman" w:hAnsi="Times New Roman"/>
        </w:rPr>
        <w:t xml:space="preserve"> организации. </w:t>
      </w:r>
    </w:p>
    <w:p w:rsidR="00FD34A2" w:rsidRDefault="00FD34A2" w:rsidP="00FD34A2">
      <w:pPr>
        <w:jc w:val="both"/>
        <w:rPr>
          <w:rFonts w:ascii="Times New Roman" w:hAnsi="Times New Roman"/>
        </w:rPr>
      </w:pPr>
      <w:r>
        <w:rPr>
          <w:rFonts w:ascii="Times New Roman" w:hAnsi="Times New Roman"/>
        </w:rPr>
        <w:tab/>
        <w:t>На вновь устанавливаемых трехфазных счетчиках должны быть пломбы государственной поверки с давностью не более 12 мес., а на однофазных счетчиках с давностью не более 2 лет.</w:t>
      </w:r>
    </w:p>
    <w:p w:rsidR="00621868" w:rsidRDefault="00621868"/>
    <w:sectPr w:rsidR="006218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4A2"/>
    <w:rsid w:val="00621868"/>
    <w:rsid w:val="00FD34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4A2"/>
    <w:pPr>
      <w:widowControl w:val="0"/>
      <w:suppressAutoHyphens/>
      <w:spacing w:after="0" w:line="240" w:lineRule="auto"/>
    </w:pPr>
    <w:rPr>
      <w:rFonts w:ascii="Arial" w:eastAsia="SimSun" w:hAnsi="Arial" w:cs="Mangal"/>
      <w:kern w:val="1"/>
      <w:sz w:val="24"/>
      <w:szCs w:val="24"/>
      <w:lang w:eastAsia="hi-IN" w:bidi="hi-IN"/>
    </w:rPr>
  </w:style>
  <w:style w:type="paragraph" w:styleId="1">
    <w:name w:val="heading 1"/>
    <w:basedOn w:val="a"/>
    <w:next w:val="a0"/>
    <w:link w:val="10"/>
    <w:qFormat/>
    <w:rsid w:val="00FD34A2"/>
    <w:pPr>
      <w:keepNext/>
      <w:numPr>
        <w:numId w:val="1"/>
      </w:numPr>
      <w:spacing w:before="170" w:after="57"/>
      <w:ind w:left="0" w:firstLine="0"/>
      <w:outlineLvl w:val="0"/>
    </w:pPr>
    <w:rPr>
      <w:rFonts w:ascii="Times New Roman" w:eastAsia="Microsoft YaHei" w:hAnsi="Times New Roman"/>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D34A2"/>
    <w:rPr>
      <w:rFonts w:ascii="Times New Roman" w:eastAsia="Microsoft YaHei" w:hAnsi="Times New Roman" w:cs="Mangal"/>
      <w:b/>
      <w:bCs/>
      <w:kern w:val="1"/>
      <w:sz w:val="24"/>
      <w:szCs w:val="32"/>
      <w:lang w:eastAsia="hi-IN" w:bidi="hi-IN"/>
    </w:rPr>
  </w:style>
  <w:style w:type="paragraph" w:styleId="a0">
    <w:name w:val="Body Text"/>
    <w:basedOn w:val="a"/>
    <w:link w:val="a4"/>
    <w:uiPriority w:val="99"/>
    <w:semiHidden/>
    <w:unhideWhenUsed/>
    <w:rsid w:val="00FD34A2"/>
    <w:pPr>
      <w:spacing w:after="120"/>
    </w:pPr>
    <w:rPr>
      <w:szCs w:val="21"/>
    </w:rPr>
  </w:style>
  <w:style w:type="character" w:customStyle="1" w:styleId="a4">
    <w:name w:val="Основной текст Знак"/>
    <w:basedOn w:val="a1"/>
    <w:link w:val="a0"/>
    <w:uiPriority w:val="99"/>
    <w:semiHidden/>
    <w:rsid w:val="00FD34A2"/>
    <w:rPr>
      <w:rFonts w:ascii="Arial" w:eastAsia="SimSun" w:hAnsi="Arial" w:cs="Mangal"/>
      <w:kern w:val="1"/>
      <w:sz w:val="24"/>
      <w:szCs w:val="2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4A2"/>
    <w:pPr>
      <w:widowControl w:val="0"/>
      <w:suppressAutoHyphens/>
      <w:spacing w:after="0" w:line="240" w:lineRule="auto"/>
    </w:pPr>
    <w:rPr>
      <w:rFonts w:ascii="Arial" w:eastAsia="SimSun" w:hAnsi="Arial" w:cs="Mangal"/>
      <w:kern w:val="1"/>
      <w:sz w:val="24"/>
      <w:szCs w:val="24"/>
      <w:lang w:eastAsia="hi-IN" w:bidi="hi-IN"/>
    </w:rPr>
  </w:style>
  <w:style w:type="paragraph" w:styleId="1">
    <w:name w:val="heading 1"/>
    <w:basedOn w:val="a"/>
    <w:next w:val="a0"/>
    <w:link w:val="10"/>
    <w:qFormat/>
    <w:rsid w:val="00FD34A2"/>
    <w:pPr>
      <w:keepNext/>
      <w:numPr>
        <w:numId w:val="1"/>
      </w:numPr>
      <w:spacing w:before="170" w:after="57"/>
      <w:ind w:left="0" w:firstLine="0"/>
      <w:outlineLvl w:val="0"/>
    </w:pPr>
    <w:rPr>
      <w:rFonts w:ascii="Times New Roman" w:eastAsia="Microsoft YaHei" w:hAnsi="Times New Roman"/>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D34A2"/>
    <w:rPr>
      <w:rFonts w:ascii="Times New Roman" w:eastAsia="Microsoft YaHei" w:hAnsi="Times New Roman" w:cs="Mangal"/>
      <w:b/>
      <w:bCs/>
      <w:kern w:val="1"/>
      <w:sz w:val="24"/>
      <w:szCs w:val="32"/>
      <w:lang w:eastAsia="hi-IN" w:bidi="hi-IN"/>
    </w:rPr>
  </w:style>
  <w:style w:type="paragraph" w:styleId="a0">
    <w:name w:val="Body Text"/>
    <w:basedOn w:val="a"/>
    <w:link w:val="a4"/>
    <w:uiPriority w:val="99"/>
    <w:semiHidden/>
    <w:unhideWhenUsed/>
    <w:rsid w:val="00FD34A2"/>
    <w:pPr>
      <w:spacing w:after="120"/>
    </w:pPr>
    <w:rPr>
      <w:szCs w:val="21"/>
    </w:rPr>
  </w:style>
  <w:style w:type="character" w:customStyle="1" w:styleId="a4">
    <w:name w:val="Основной текст Знак"/>
    <w:basedOn w:val="a1"/>
    <w:link w:val="a0"/>
    <w:uiPriority w:val="99"/>
    <w:semiHidden/>
    <w:rsid w:val="00FD34A2"/>
    <w:rPr>
      <w:rFonts w:ascii="Arial" w:eastAsia="SimSun" w:hAnsi="Arial"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1217</Words>
  <Characters>6939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konradi_iy</dc:creator>
  <cp:lastModifiedBy>konradi_iy</cp:lastModifiedBy>
  <cp:revision>1</cp:revision>
  <dcterms:created xsi:type="dcterms:W3CDTF">2019-04-09T02:12:00Z</dcterms:created>
  <dcterms:modified xsi:type="dcterms:W3CDTF">2019-04-09T02:12:00Z</dcterms:modified>
</cp:coreProperties>
</file>